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Mentre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si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0"/>
        </w:rPr>
        <w:t xml:space="preserve">chiudono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i confini, Expo Riva Schuh e Gardabags li attraversano.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Dal 13 al 16 giugno l'edizione numero 105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Oltre 1.000 espositori e brand da 44 paesi e 219 hosted buyer da 49 paesi. Le manifestazioni organizzate da Riva del Garda Fierecongressi offrono stabilità nel business oltre a occasioni di informazione e incontro laddove il commercio globale si ritira. Gli eventi saranno 22: innovazione, trend, mercati 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un’esperienza immersiva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guarda al prodotto moda strizzando l'occhio alle nuove tecnologie.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film più applaudito a Cannes 2026 è stato un blockbuster di fantascienza coreano. Raro che in un festival come quello francese il pubblico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applauda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durante un film, soprattutto dopo una scena d'azione di quasi un'ora. È capitato quest'anno per 'Hope' di Na Hong-jin. Suona strano, vero? Forse è solo la dimostrazione che aprire i confini può ancora portare alla scoperta di piacevoli sorprese. Ci credono Expo Riva Schuh e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Gardabags: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aprirsi all'internazionalizzazione paga sempre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105ª edizione,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13 al 16 giugno 2026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Riva del Garda, lo racconta con i numeri.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Oltre 1.000 brand ed espositori da 44 paesi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62,63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 arriva da fuori Europa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il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37,37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 dall'UE: percentuali che spostano da sole il baricentro della manifestazione.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Cina porta il 34,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46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 degli espositori, l'Italia il 17%, la Turchia il 10,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61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%, l'India il 9,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39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 poi 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debutti: Vietnam, Tunisia, Sudafrica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Expo Riva Schuh; una delegazione vietnamita, un'azienda giapponese e una croata nell'area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B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rands di Gardabags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Sul fronte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compratori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la geografia si allarga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ulteriormente con visitatori attesi</w:t>
      </w:r>
      <w:r w:rsidDel="00000000" w:rsidR="00000000" w:rsidRPr="00000000">
        <w:rPr>
          <w:rFonts w:ascii="Montserrat" w:cs="Montserrat" w:eastAsia="Montserrat" w:hAnsi="Montserrat"/>
          <w:color w:val="ff000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 100 nazioni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219 gli hosted buyer internazionali da 49 paesi,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dei quali rappresentati per la prima volta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nell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’incoming programme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intercettarli, sono stati attivati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 uffici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ITA - Italian Trade Agency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nel mondo.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accoglierli, nel padiglione B4, una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nuova buyers lounge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progettata per questa community.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L'internazionalizzazione, però, non è solo una somma di passaporti. È anche occasione di pensiero vario e differente che nell'incontro si arricchisce. Lo prova il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LATAM Footwear Leader Summit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che si terrà al Centro Congressi di Riva del Garda durante i giorni di fiera,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riunendo 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membri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 ACCAL,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l’istituzione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che rappresenta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principali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associazioni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nazionali e le camere di commercio del settore calzaturiero e della componentistica dell'America Latina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che conferma l'evoluzione della manifestazione in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piattaforma di business &amp; learning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servizio della community internazionale del settore.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APRIRSI IN UN MONDO CHE SI CHIUDE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Dazi, blocchi, alleanze che si scompongono e ricompongono. In che modo una fiera può crescere proprio mentre il commercio internazionale inciampa in centinaia di buche? Solo se continua a essere il luogo dove i mercati si incontrano davvero, non solo simbolicamente. Una scommessa che si rinnova a ogni edizione. E si incontrano non solo per tessere relazioni commerciali, ma anche con il desiderio di capire e interpretare i mutamenti del settore.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 aiutano in questa complessa missione 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 eventi a calendario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Innovation Village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Retail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(Mainstage A2) porta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startup da 7 paesi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Italia, Germania, Olanda, Regno Unito, Portogallo, Spagna, Corea del Sud — e culmina nella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Startup Competition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lunedì 15 giugno. Per scoprire innovazioni concrete che possono cambiare il volto della distribuzione calzaturiera.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proposito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innovazione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per questa edizione gli organizzatori hanno preparato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un’esperienza immersiva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intreccia comunicazione e prodotto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Una selezione delle collezioni degli espositori verrà messa in scena in modo assolutamente inedito. Non anticipiamo altro, ma sarà un'occasione da non perdere per chi guarda al futuro.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Highlights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ideata con Arsutoria, è il termometro dei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trend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sei momenti dedicati 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borse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(domenica e lunedì, ore 10:00),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scarpe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(sabato e lunedì, ore 14:00),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sneaker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(domenica, ore 14:00) 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mercato DACH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(domenica, ore 16:30, con Claudia Schulz).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 Focus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conferma i quattro appuntamenti dedicati ad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America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Europa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Africa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Medio Oriente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aggiunge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due novità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Calling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Nuove Rotte per il Business Globale" si concentrerà sulle opportunità aperte dall'accordo di libero scambio UE–India, e si terrà in apertura del Market Focus Asia.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FAIST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Fábrica Ágil, Inteligente, Sustentável e Tecnológica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 Pedro Duarte del CTCP (Portuguese Footwear Technological Centre), racconterà la trasformazione digitale del comparto calzaturiero portoghese, in apertura del Market Focus Europa.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padiglione A2 trova spazio la nuova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Showcase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Gardabags. Tema dell'edizione: Glow Up. In mostra una selezione di campioni costruita su trasparenze, sovrapposizioni e luminosità, dove ogni prodotto non riflette il colore, lo genera. Ancora una volta il prodotto al centro.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poi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 Riva Nights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PalaVela: si assisterà a una performance live del coreografo e ballerino Giacomo Frassica, con dj set a seguire. Permetterà alla community di trascorrere momenti di svago e divertimento così da rafforzare i legami fra chi crede nella relazione come un ottimo motore anche per gli affari.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Tutto il programma vive sull'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 ufficiale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fiera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che funziona come una preziosa bussola: catalogo espositori e prodotti, mappa interattiva dei padiglioni, agenda appuntamenti, info su transfer e navette. Gli stand Gardabags sono segnalati in rosa; quelli dedicati esclusivamente alla prima infanzia, in giallo.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Non proprio un evento, ma una novità da segnalare: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Expo Riva Schuh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presenta un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nuovo layout del padiglione B4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pensato per migliorare l'esperienza dei visitatori e rendere più piacevole la visita agli stand.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DUE ANIME, UNA PIATTAFORMA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 forza della manifestazione è tenere insieme più  profili di espositori: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sourcing e brand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private label e identità di marchio, flessibilità e posizionamento. Lo stesso accade lato compratori: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retailer, e-commerce, buying office, importatori e catene internazionali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si trovano nello stesso perimetro. Una convivenza non casuale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È una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scelta strategica che consente di andare incontro a entrambe le anime che caratterizzano i visitatori dell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manifestazion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il 41,7% cerca solo prodotti Private Label; il 26,5% è a caccia dei soli brand; chi indaga entrambe le tipologie di prodotto rappresenta il restante 31,7%.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 se è chiaro a tutti che l’offerta di sourcing e private label a Riva del Garda è ampia, qualcuno potrebbe chiedersi: di marchi ne abbiamo? La risposta è sì.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Citiamo solo alcuni de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brand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Expo Riva Schuh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Windsor Smith, Primadonna, Gap, Levi's, Jungle Joggers, Wrangler, O'Neill, Lee, Alpacas, Kangaroos, Kastinger, Jako, Marco Tozzi, Tamaris, Igi&amp;Co, Imac, Primigi, Valleverde, Goldstar, Leon, S. Oliver, Marina Galanti, Armata di Mare, Manas, Bronx, Bufflox, Comeby, Urbanfly by Vegastyle, Xti, Paredes, Marila, Refresh, Carmela, Amarpies, Rockaway.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Gardabags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oltre 80 aziende, equamente distribuite tra Brands, Sourcing for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B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ridge e Sourcing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Tra 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Marchetti, Pelletteria Charlotte, Marina Galanti, Marta Marzotto, Pet Sezona, Luana Ferracuti, Y-dry, Rocai, Ferchi, American Traveler, McLanee, Plavoangel, Genny il Pellettiere, Alex Max, Marini Silvano, Maxfly, Alexia, Kingson.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Ecco, allora, il messaggio della 105esima edizione di Expo Riva Schuh e Gardabags (13-16 giugno 2026): è vitale aprire i confini, ostinatamente; è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cruciale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ssere laddove i confini diventano opportunità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-704849</wp:posOffset>
            </wp:positionH>
            <wp:positionV relativeFrom="paragraph">
              <wp:posOffset>5353050</wp:posOffset>
            </wp:positionV>
            <wp:extent cx="7519988" cy="1248637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39" l="0" r="0" t="139"/>
                    <a:stretch>
                      <a:fillRect/>
                    </a:stretch>
                  </pic:blipFill>
                  <pic:spPr>
                    <a:xfrm>
                      <a:off x="0" y="0"/>
                      <a:ext cx="7519988" cy="12486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40" w:w="11900" w:orient="portrait"/>
      <w:pgMar w:bottom="1134" w:top="2834.64566929133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-492914</wp:posOffset>
          </wp:positionH>
          <wp:positionV relativeFrom="paragraph">
            <wp:posOffset>-335279</wp:posOffset>
          </wp:positionV>
          <wp:extent cx="7107696" cy="12477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6524" l="0" r="0" t="16524"/>
                  <a:stretch>
                    <a:fillRect/>
                  </a:stretch>
                </pic:blipFill>
                <pic:spPr>
                  <a:xfrm>
                    <a:off x="0" y="0"/>
                    <a:ext cx="7107696" cy="12477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  <w:jc w:val="both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6" w:lineRule="auto"/>
      <w:jc w:val="both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6" w:lineRule="auto"/>
      <w:jc w:val="both"/>
    </w:pPr>
    <w:rPr>
      <w:rFonts w:ascii="Montserrat" w:cs="Montserrat" w:eastAsia="Montserrat" w:hAnsi="Montserrat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6" w:lineRule="auto"/>
      <w:jc w:val="both"/>
    </w:pPr>
    <w:rPr>
      <w:rFonts w:ascii="Montserrat" w:cs="Montserrat" w:eastAsia="Montserrat" w:hAnsi="Montserrat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6" w:lineRule="auto"/>
      <w:jc w:val="both"/>
    </w:pPr>
    <w:rPr>
      <w:rFonts w:ascii="Montserrat" w:cs="Montserrat" w:eastAsia="Montserrat" w:hAnsi="Montserrat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6" w:lineRule="auto"/>
      <w:jc w:val="both"/>
    </w:pPr>
    <w:rPr>
      <w:rFonts w:ascii="Montserrat" w:cs="Montserrat" w:eastAsia="Montserrat" w:hAnsi="Montserrat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  <w:jc w:val="both"/>
    </w:pPr>
    <w:rPr>
      <w:rFonts w:ascii="Play" w:cs="Play" w:eastAsia="Play" w:hAnsi="Play"/>
      <w:color w:val="000000"/>
      <w:sz w:val="56"/>
      <w:szCs w:val="56"/>
    </w:rPr>
  </w:style>
  <w:style w:type="paragraph" w:styleId="Subtitle">
    <w:name w:val="Subtitle"/>
    <w:basedOn w:val="Normal"/>
    <w:next w:val="Normal"/>
    <w:pPr>
      <w:spacing w:line="276" w:lineRule="auto"/>
      <w:jc w:val="both"/>
    </w:pPr>
    <w:rPr>
      <w:rFonts w:ascii="Montserrat" w:cs="Montserrat" w:eastAsia="Montserrat" w:hAnsi="Montserrat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/Ywc+4ByxslcvSfgoVa3i9IhQ==">CgMxLjA4AGolChRzdWdnZXN0LjVjeHJiYWs2NzZ0eRINU2FyYSBCYXNzZXR0aWolChRzdWdnZXN0LjgwaDM4eHEybmI1aBINU2FyYSBCYXNzZXR0aWolChRzdWdnZXN0LjNkZm9lbmFmcHFpbxINU2FyYSBCYXNzZXR0aWooChRzdWdnZXN0LnFjMnd3YWVnbDB5MRIQTmljb2xlIERlIE5hcmRpc2olChRzdWdnZXN0Lm9oazQ0c25wYXc1eBINU2FyYSBCYXNzZXR0aWooChRzdWdnZXN0LnZzaXlmM2V3cHB3bBIQTmljb2xlIERlIE5hcmRpc2ooChRzdWdnZXN0LnhpY283cnJhdG1oMxIQTmljb2xlIERlIE5hcmRpc3IhMUVSMDdXSWt2bG56eW0zc2xaSHdWS0FlbUowYVMzSD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